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Microsoft YaHei UI" w:hAnsi="Microsoft YaHei UI" w:eastAsia="Microsoft YaHei UI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atLeast"/>
        <w:ind w:firstLine="880"/>
        <w:jc w:val="center"/>
        <w:rPr>
          <w:rFonts w:ascii="Microsoft YaHei UI" w:hAnsi="Microsoft YaHei UI" w:eastAsia="Microsoft YaHei UI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“金融科技沁园创新坊”</w:t>
      </w:r>
    </w:p>
    <w:p>
      <w:pPr>
        <w:widowControl/>
        <w:shd w:val="clear" w:color="auto" w:fill="FFFFFF"/>
        <w:spacing w:line="560" w:lineRule="atLeast"/>
        <w:ind w:firstLine="64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资本市场网络安全篇（第二期）课程表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875"/>
        <w:gridCol w:w="56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授课内容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第一模块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" w:hRule="atLeast"/>
          <w:jc w:val="center"/>
        </w:trPr>
        <w:tc>
          <w:tcPr>
            <w:tcW w:w="6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第一天</w:t>
            </w:r>
          </w:p>
          <w:p>
            <w:pPr>
              <w:widowControl/>
              <w:spacing w:before="60" w:after="60" w:line="20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（形势政策）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20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204" w:lineRule="atLeast"/>
              <w:ind w:left="-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网络安全相关法律法规解读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93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93" w:lineRule="atLeast"/>
              <w:ind w:left="-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新形势下的网络金融安全态势与应对策略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93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93" w:lineRule="atLeast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网络安全等级保护2.0</w:t>
            </w:r>
          </w:p>
          <w:p>
            <w:pPr>
              <w:widowControl/>
              <w:spacing w:before="60" w:after="60" w:line="193" w:lineRule="atLeast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商用密码应用安全性评估的指引与要求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5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APP安全与防范手段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6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第二天</w:t>
            </w:r>
          </w:p>
          <w:p>
            <w:pPr>
              <w:widowControl/>
              <w:spacing w:before="60" w:after="60" w:line="5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（安全体系）</w:t>
            </w:r>
          </w:p>
        </w:tc>
        <w:tc>
          <w:tcPr>
            <w:tcW w:w="11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5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9:00-1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spacing w:before="60" w:after="60"/>
              <w:ind w:left="-2" w:firstLine="0" w:firstLineChars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数据安全认证体系建设与实施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5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330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57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构建信息安全基础架构的最佳实践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61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信息安全体系架构与基础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第三天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（安全运营）</w:t>
            </w:r>
          </w:p>
        </w:tc>
        <w:tc>
          <w:tcPr>
            <w:tcW w:w="11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9:00-1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61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行业信息系统运营实践、应急处置、案例分析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61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零信任理念技术与业界实践研讨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61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19:00-2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 w:line="161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第二模块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第四天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（实战演练）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9:00-1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蓝队防守常见手段：蓝队介绍，蓝队防护思路与流程方法）；</w:t>
            </w:r>
          </w:p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红队视角下的攻击方式：红队攻击思路、流程、方法，红队攻击经典案例，红队攻击实战演练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网络安全威胁识别：日志分析思路与工具，日志分析技术方法，日志分析案例剖析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19:00-21:00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网络攻防实战演练：红队渗透入侵实战演练，蓝队日志分析实战演练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第五天</w:t>
            </w:r>
          </w:p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（实战演练）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9:00-1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网络安全应急处置：安全事件入侵排查方法，Windows入侵排查，Linux入侵排查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14:00-17:30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0" w:after="60"/>
              <w:ind w:left="-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网络安全事件应急处置实战演练：Web应用攻击事件处置实战，钓鱼邮件事件处置实战，勒索病毒事件处置实战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97712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84"/>
    <w:rsid w:val="0015686E"/>
    <w:rsid w:val="001F6BE8"/>
    <w:rsid w:val="002910D3"/>
    <w:rsid w:val="005C00B3"/>
    <w:rsid w:val="0065033D"/>
    <w:rsid w:val="006F6566"/>
    <w:rsid w:val="008770D8"/>
    <w:rsid w:val="009E328A"/>
    <w:rsid w:val="00A214A1"/>
    <w:rsid w:val="00A22362"/>
    <w:rsid w:val="00A23D80"/>
    <w:rsid w:val="00B10424"/>
    <w:rsid w:val="00B64073"/>
    <w:rsid w:val="00BD0084"/>
    <w:rsid w:val="00E61CB5"/>
    <w:rsid w:val="00E65239"/>
    <w:rsid w:val="7E9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5"/>
    <w:uiPriority w:val="0"/>
  </w:style>
  <w:style w:type="paragraph" w:customStyle="1" w:styleId="10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1129</Words>
  <Characters>6439</Characters>
  <Lines>53</Lines>
  <Paragraphs>15</Paragraphs>
  <TotalTime>13</TotalTime>
  <ScaleCrop>false</ScaleCrop>
  <LinksUpToDate>false</LinksUpToDate>
  <CharactersWithSpaces>7553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2021-05-14T12:24:00Z</dcterms:created>
  <dc:creator>高贵中</dc:creator>
  <cp:lastModifiedBy>成滔</cp:lastModifiedBy>
  <dcterms:modified xsi:type="dcterms:W3CDTF">2021-07-14T05:58:17Z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688CCC356521497992624504582781A3</vt:lpwstr>
  </property>
</Properties>
</file>